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1D" w:rsidRDefault="00EA0C42" w:rsidP="00965A1D">
      <w:pPr>
        <w:jc w:val="right"/>
      </w:pPr>
      <w:r>
        <w:rPr>
          <w:noProof/>
        </w:rPr>
        <w:pict>
          <v:roundrect id="_x0000_s1669" style="position:absolute;left:0;text-align:left;margin-left:172.5pt;margin-top:14.95pt;width:552.75pt;height:39pt;z-index:252315648" arcsize="10923f" strokecolor="#00b0f0">
            <v:textbox style="mso-next-textbox:#_x0000_s1669">
              <w:txbxContent>
                <w:p w:rsidR="00812552" w:rsidRPr="00AE3ED8" w:rsidRDefault="00812552">
                  <w:pPr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</w:pPr>
                  <w:r w:rsidRPr="00AE3ED8">
                    <w:rPr>
                      <w:rFonts w:ascii="TH Niramit AS" w:hAnsi="TH Niramit AS" w:cs="TH Niramit AS" w:hint="cs"/>
                      <w:b/>
                      <w:bCs/>
                      <w:sz w:val="48"/>
                      <w:szCs w:val="48"/>
                      <w:cs/>
                    </w:rPr>
                    <w:t xml:space="preserve">     </w:t>
                  </w:r>
                  <w:r w:rsidRPr="00AE3ED8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เวียงตาลน่าอยู่  ชุมชนเข้มแข็ง เศรษฐกิจมั่นคง สิ่งแวดล้อมยั่งยืน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67" type="#_x0000_t202" style="position:absolute;left:0;text-align:left;margin-left:177.75pt;margin-top:-30.8pt;width:471.3pt;height:38.25pt;z-index:252365824" strokecolor="white [3212]">
            <v:textbox>
              <w:txbxContent>
                <w:p w:rsidR="003332BB" w:rsidRPr="004D0C2D" w:rsidRDefault="003332BB" w:rsidP="003332BB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4D0C2D">
                    <w:rPr>
                      <w:rFonts w:ascii="TH Niramit AS" w:hAnsi="TH Niramit AS" w:cs="TH Niramit AS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ความเชื่อมโยงและการวิเคราะห์เพื่อการพัฒนาขององค์การบริหารส่วนตำบลเวียงตาล</w:t>
                  </w:r>
                </w:p>
                <w:p w:rsidR="003332BB" w:rsidRDefault="003332BB"/>
              </w:txbxContent>
            </v:textbox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668" type="#_x0000_t15" style="position:absolute;left:0;text-align:left;margin-left:22.5pt;margin-top:18.7pt;width:108pt;height:35.25pt;z-index:252314624" strokecolor="#00b0f0">
            <v:textbox style="mso-next-textbox:#_x0000_s1668">
              <w:txbxContent>
                <w:p w:rsidR="00812552" w:rsidRPr="00B96418" w:rsidRDefault="00812552">
                  <w:pPr>
                    <w:rPr>
                      <w:rFonts w:ascii="TH Niramit AS" w:hAnsi="TH Niramit AS" w:cs="TH Niramit AS"/>
                      <w:sz w:val="36"/>
                      <w:szCs w:val="36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36"/>
                      <w:szCs w:val="36"/>
                      <w:cs/>
                    </w:rPr>
                    <w:t>1.</w:t>
                  </w:r>
                  <w:r w:rsidRPr="00B96418">
                    <w:rPr>
                      <w:rFonts w:ascii="TH Niramit AS" w:hAnsi="TH Niramit AS" w:cs="TH Niramit AS"/>
                      <w:sz w:val="36"/>
                      <w:szCs w:val="36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left:0;text-align:left;margin-left:761.8pt;margin-top:13.3pt;width:41.25pt;height:28.5pt;z-index:251820032" strokecolor="white [3212]">
            <v:textbox style="mso-next-textbox:#_x0000_s1185">
              <w:txbxContent>
                <w:p w:rsidR="00812552" w:rsidRPr="00033DF7" w:rsidRDefault="00812552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</w:p>
    <w:p w:rsidR="00965A1D" w:rsidRPr="00BB1F9D" w:rsidRDefault="00EA0C42" w:rsidP="00965A1D">
      <w:pPr>
        <w:jc w:val="center"/>
      </w:pPr>
      <w:r>
        <w:rPr>
          <w:noProof/>
        </w:rPr>
        <w:pict>
          <v:shape id="_x0000_s1186" type="#_x0000_t202" style="position:absolute;left:0;text-align:left;margin-left:751.3pt;margin-top:520.8pt;width:41.25pt;height:28.5pt;z-index:251821056" strokecolor="white [3212]">
            <v:textbox style="mso-next-textbox:#_x0000_s1186">
              <w:txbxContent>
                <w:p w:rsidR="00812552" w:rsidRPr="00033DF7" w:rsidRDefault="00812552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59</w:t>
                  </w:r>
                </w:p>
              </w:txbxContent>
            </v:textbox>
          </v:shape>
        </w:pict>
      </w: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675" style="position:absolute;margin-left:650.55pt;margin-top:22.7pt;width:116.25pt;height:33pt;z-index:252321792" arcsize="10923f" strokecolor="#00b050">
            <v:textbox style="mso-next-textbox:#_x0000_s1675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0"/>
                      <w:szCs w:val="20"/>
                    </w:rPr>
                    <w:t>5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</w:rPr>
                    <w:t>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</w:t>
                  </w: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บริหารและพัฒนาองค์กร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4" style="position:absolute;margin-left:525.3pt;margin-top:22.7pt;width:116.25pt;height:31.5pt;z-index:252320768" arcsize="10923f" strokecolor="#00b050">
            <v:textbox style="mso-next-textbox:#_x0000_s1674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0"/>
                      <w:szCs w:val="20"/>
                    </w:rPr>
                    <w:t>4.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การพัฒนาด้าน</w:t>
                  </w: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เศรษฐกิจ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3" style="position:absolute;margin-left:399pt;margin-top:22.7pt;width:116.25pt;height:31.5pt;z-index:252319744" arcsize="10923f" strokecolor="#00b050">
            <v:textbox style="mso-next-textbox:#_x0000_s1673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0"/>
                      <w:szCs w:val="20"/>
                    </w:rPr>
                    <w:t>3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</w:rPr>
                    <w:t>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การพัฒนาด้าน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>สังคม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1" style="position:absolute;margin-left:138.75pt;margin-top:22.7pt;width:116.25pt;height:30.75pt;z-index:252317696" arcsize="10923f" strokecolor="#00b050">
            <v:textbox style="mso-next-textbox:#_x0000_s1671">
              <w:txbxContent>
                <w:p w:rsidR="00812552" w:rsidRPr="00B96418" w:rsidRDefault="00812552">
                  <w:pPr>
                    <w:rPr>
                      <w:sz w:val="20"/>
                      <w:szCs w:val="20"/>
                      <w:cs/>
                    </w:rPr>
                  </w:pP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</w:rPr>
                    <w:t>1.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2" style="position:absolute;margin-left:267pt;margin-top:22.7pt;width:116.25pt;height:38.25pt;z-index:252318720" arcsize="10923f" strokecolor="#00b050">
            <v:textbox style="mso-next-textbox:#_x0000_s1672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2.การอนุรักษ์ทรัพยากรธรรมชาติและสิ่งแวดล้อม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shape id="_x0000_s1670" type="#_x0000_t15" style="position:absolute;margin-left:22.5pt;margin-top:22.7pt;width:108pt;height:35.25pt;z-index:252316672" strokecolor="#00b050">
            <v:textbox style="mso-next-textbox:#_x0000_s1670">
              <w:txbxContent>
                <w:p w:rsidR="00812552" w:rsidRPr="00B96418" w:rsidRDefault="00812552" w:rsidP="00B96418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2.</w:t>
                  </w:r>
                  <w:r w:rsidRPr="00B96418">
                    <w:rPr>
                      <w:rFonts w:ascii="TH Niramit AS" w:hAnsi="TH Niramit AS" w:cs="TH Niramit AS"/>
                      <w:szCs w:val="22"/>
                      <w:cs/>
                    </w:rPr>
                    <w:t>ยุทธศาสตร์การพัฒนา</w:t>
                  </w:r>
                </w:p>
              </w:txbxContent>
            </v:textbox>
          </v:shape>
        </w:pict>
      </w:r>
    </w:p>
    <w:p w:rsidR="00B96418" w:rsidRDefault="00B96418">
      <w:pPr>
        <w:rPr>
          <w:rFonts w:ascii="TH Niramit AS" w:hAnsi="TH Niramit AS" w:cs="TH Niramit AS"/>
          <w:sz w:val="28"/>
        </w:rPr>
      </w:pPr>
    </w:p>
    <w:p w:rsidR="00B96418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3" style="position:absolute;margin-left:529.05pt;margin-top:177.45pt;width:116.25pt;height:41.25pt;z-index:252348416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4.2 การส่งเสริมการตลาดและการใช้สินค้าท้องถิ่น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6" style="position:absolute;margin-left:267pt;margin-top:229.35pt;width:116.25pt;height:83.25pt;z-index:252341248" arcsize="10923f" strokecolor="#c0504d [3205]">
            <v:textbox>
              <w:txbxContent>
                <w:p w:rsidR="00812552" w:rsidRPr="002373A1" w:rsidRDefault="00812552" w:rsidP="002373A1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2.1 การอนุรักษ์ ฟื้นฟู การเฝ้าระวัง และการป้องกันรักษาทรัพยากรธรรมชาติและสิ่งแวดล้อม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5" style="position:absolute;margin-left:267pt;margin-top:127.35pt;width:116.25pt;height:85.5pt;z-index:252340224" arcsize="10923f" strokecolor="#c0504d [3205]">
            <v:textbox>
              <w:txbxContent>
                <w:p w:rsidR="00812552" w:rsidRPr="002373A1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2.1 การสร้างจิตสำนึกและตระหนักในการรักษาทรัพยากรธรรมชาติและสิ่งแวดล้อม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88" style="position:absolute;margin-left:650.55pt;margin-top:71.1pt;width:122.25pt;height:41.25pt;z-index:252334080" arcsize="10923f" strokecolor="#0070c0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ร้อยละของบุคลากรที่ได้รับการพัฒนาและการมีส่วนร่วมของทุกภาคส่วน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81" style="position:absolute;margin-left:649.05pt;margin-top:10.5pt;width:128.25pt;height:41.25pt;z-index:252327936" arcsize="10923f" strokecolor="#3f3151 [1607]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>พัฒนาประสิทธิภาพการบริการสนับสนุนให้เกิดการมีส่วนร่วมในทุกภาคส่วน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704" style="position:absolute;margin-left:532.8pt;margin-top:229.35pt;width:116.25pt;height:41.25pt;z-index:252349440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4.3 การส่งเสริมการท่องเที่ยว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702" style="position:absolute;margin-left:529.05pt;margin-top:127.35pt;width:116.25pt;height:41.25pt;z-index:252347392" arcsize="10923f" strokecolor="#c0504d [3205]">
            <v:textbox>
              <w:txbxContent>
                <w:p w:rsidR="00812552" w:rsidRPr="009067DA" w:rsidRDefault="00812552" w:rsidP="009067DA">
                  <w:pPr>
                    <w:rPr>
                      <w:sz w:val="20"/>
                      <w:szCs w:val="22"/>
                      <w:cs/>
                    </w:rPr>
                  </w:pPr>
                  <w:r>
                    <w:rPr>
                      <w:rFonts w:hint="cs"/>
                      <w:sz w:val="20"/>
                      <w:szCs w:val="22"/>
                      <w:cs/>
                    </w:rPr>
                    <w:t>4.1 การส่งเสริมอาชีพและเพิ่มรายได้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7" style="position:absolute;margin-left:399pt;margin-top:127.35pt;width:116.25pt;height:41.25pt;z-index:252342272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</w:rPr>
                    <w:t xml:space="preserve">3.1 </w:t>
                  </w: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การพัฒนาคุณภาพชีวิตของประชาชน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4" style="position:absolute;margin-left:138.75pt;margin-top:229.35pt;width:116.25pt;height:41.25pt;z-index:252339200" arcsize="10923f" strokecolor="#c0504d [3205]">
            <v:textbox>
              <w:txbxContent>
                <w:p w:rsidR="00812552" w:rsidRPr="002373A1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1.3 การก่อสร้างปรับปรุง ดูแล รักษาแหล่งน้ำ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3" style="position:absolute;margin-left:138.75pt;margin-top:177.45pt;width:116.25pt;height:41.25pt;z-index:252338176" arcsize="10923f" strokecolor="#c0504d [3205]">
            <v:textbox>
              <w:txbxContent>
                <w:p w:rsidR="00812552" w:rsidRPr="002373A1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1.2 การพัฒนาด้านสาธารณูปโภค สาธารณูปการ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2" style="position:absolute;margin-left:138.75pt;margin-top:127.35pt;width:116.25pt;height:41.25pt;z-index:252337152" arcsize="10923f" strokecolor="#c0504d [3205]">
            <v:textbox>
              <w:txbxContent>
                <w:p w:rsidR="00812552" w:rsidRPr="002373A1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1.1 การก่อสร้าง ปรับปรุง บำรุง รักษา ถนน สะพาน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shape id="_x0000_s1689" type="#_x0000_t15" style="position:absolute;margin-left:22.5pt;margin-top:127.35pt;width:108pt;height:35.25pt;z-index:252335104" strokecolor="#c0504d [3205]">
            <v:textbox>
              <w:txbxContent>
                <w:p w:rsidR="00812552" w:rsidRPr="004C6950" w:rsidRDefault="00812552" w:rsidP="004C6950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5.กลยุทธ์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roundrect id="_x0000_s1687" style="position:absolute;margin-left:525.3pt;margin-top:71.1pt;width:116.25pt;height:41.25pt;z-index:252333056" arcsize="10923f" strokecolor="#0070c0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ร้อยละของประชาชนที่มีอาชีพและรายได้ที่เพียงพอต่อการดำรงชีพ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86" style="position:absolute;margin-left:394.65pt;margin-top:71.1pt;width:116.25pt;height:41.25pt;z-index:252332032" arcsize="10923f" strokecolor="#0070c0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ร้อยละของประชาชนที่มีคุณภาพชีวิตที่ดี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85" style="position:absolute;margin-left:267pt;margin-top:71.1pt;width:116.25pt;height:41.25pt;z-index:252331008" arcsize="10923f" strokecolor="#0070c0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ร้อยละของทรัพยากรและสิ่งแวดล้อมที่ดีขึ้น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84" style="position:absolute;margin-left:138.75pt;margin-top:71.1pt;width:116.25pt;height:41.25pt;z-index:252329984" arcsize="10923f" strokecolor="#0070c0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จำนวนระบบโครงสร้างพื้นฐานที่ได้มาตรฐาน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shape id="_x0000_s1683" type="#_x0000_t15" style="position:absolute;margin-left:22.5pt;margin-top:71.1pt;width:108pt;height:35.25pt;z-index:252328960" strokecolor="#0070c0">
            <v:textbox>
              <w:txbxContent>
                <w:p w:rsidR="00812552" w:rsidRPr="004C6950" w:rsidRDefault="00812552" w:rsidP="004C6950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4.ค่าเป้าหมาย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roundrect id="_x0000_s1680" style="position:absolute;margin-left:520.8pt;margin-top:10.5pt;width:116.25pt;height:41.25pt;z-index:252326912" arcsize="10923f" strokecolor="#3f3151 [1607]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ประชาชนมีอาชีพและรายได้เพิ่มขึ้นเพียงพอต่อการดำรงชีพ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9" style="position:absolute;margin-left:394.65pt;margin-top:10.5pt;width:116.25pt;height:41.25pt;z-index:252325888" arcsize="10923f" strokecolor="#3f3151 [1607]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ประชาชนมีคุณภาพชีวิตที่ดี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8" style="position:absolute;margin-left:267pt;margin-top:10.5pt;width:116.25pt;height:41.25pt;z-index:252324864" arcsize="10923f" strokecolor="#3f3151 [1607]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มีการจัดการทรัพยากรธรรมชาติและสิ่งแวดล้อมเพื่อการพัฒนาท้องถิ่น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7" style="position:absolute;margin-left:138.75pt;margin-top:10.5pt;width:116.25pt;height:41.25pt;z-index:252323840" arcsize="10923f" strokecolor="#3f3151 [1607]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มีสิ่งก่อสร้างเพื่ออำนวยความสะดวกให้ทั่วถึงทุกพื้นที่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shape id="_x0000_s1676" type="#_x0000_t15" style="position:absolute;margin-left:22.5pt;margin-top:10.5pt;width:108pt;height:35.25pt;z-index:252322816" strokecolor="#3f3151 [1607]">
            <v:textbox>
              <w:txbxContent>
                <w:p w:rsidR="00812552" w:rsidRPr="004C6950" w:rsidRDefault="00812552" w:rsidP="009F2E0B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3.</w:t>
                  </w:r>
                  <w:r w:rsidRPr="004C6950">
                    <w:rPr>
                      <w:rFonts w:ascii="TH Niramit AS" w:hAnsi="TH Niramit AS" w:cs="TH Niramit AS"/>
                      <w:szCs w:val="22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4221DD" w:rsidRDefault="004221DD" w:rsidP="004221DD"/>
    <w:p w:rsidR="004221DD" w:rsidRDefault="004221DD" w:rsidP="004221DD"/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5" style="position:absolute;margin-left:656.55pt;margin-top:13.25pt;width:116.25pt;height:24pt;z-index:252350464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5.1 การพัฒนาบุคลากร</w:t>
                  </w:r>
                </w:p>
              </w:txbxContent>
            </v:textbox>
          </v:roundrect>
        </w:pict>
      </w: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6" style="position:absolute;margin-left:656.55pt;margin-top:16.9pt;width:116.25pt;height:41.25pt;z-index:252351488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5.2 การปรับปรุง พัฒนา เครื่องมือ เครื่องใช้ สถานที่ปฏิบัติงาน</w:t>
                  </w:r>
                </w:p>
              </w:txbxContent>
            </v:textbox>
          </v:roundrect>
        </w:pict>
      </w: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698" style="position:absolute;margin-left:399pt;margin-top:.3pt;width:116.25pt;height:26.25pt;z-index:252343296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3.2 การจัดการศึกษา</w:t>
                  </w:r>
                </w:p>
              </w:txbxContent>
            </v:textbox>
          </v:roundrect>
        </w:pict>
      </w: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7" style="position:absolute;margin-left:656.55pt;margin-top:3.95pt;width:116.25pt;height:41.25pt;z-index:252352512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5.3 การส่งเสริมความรู้ความเข้าใจในกิจการท้องถิ่น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9" style="position:absolute;margin-left:399pt;margin-top:3.95pt;width:116.25pt;height:41.25pt;z-index:252344320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3.3 การส่งเสริม ศิลปะ วัฒนธรรม ประเพณี และภูมิปัญญาท้องถิ่น</w:t>
                  </w:r>
                </w:p>
              </w:txbxContent>
            </v:textbox>
          </v:roundrect>
        </w:pict>
      </w: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0" style="position:absolute;margin-left:399pt;margin-top:18.1pt;width:116.25pt;height:41.25pt;z-index:252345344" arcsize="10923f" strokecolor="#c0504d [3205]">
            <v:textbox>
              <w:txbxContent>
                <w:p w:rsidR="00812552" w:rsidRPr="009067DA" w:rsidRDefault="00812552" w:rsidP="009067DA">
                  <w:pPr>
                    <w:rPr>
                      <w:sz w:val="20"/>
                      <w:szCs w:val="22"/>
                      <w:cs/>
                    </w:rPr>
                  </w:pPr>
                  <w:r>
                    <w:rPr>
                      <w:rFonts w:hint="cs"/>
                      <w:sz w:val="20"/>
                      <w:szCs w:val="22"/>
                      <w:cs/>
                    </w:rPr>
                    <w:t>3.4 การป้องกันรักษาสุขภาพอนามัยของประชาชน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708" style="position:absolute;margin-left:661.05pt;margin-top:24.85pt;width:116.25pt;height:41.25pt;z-index:252353536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5.4 การส่งเสริมการมีส่วนร่วมของประชาชน</w:t>
                  </w:r>
                </w:p>
              </w:txbxContent>
            </v:textbox>
          </v:roundrect>
        </w:pict>
      </w: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1" style="position:absolute;margin-left:399pt;margin-top:2.85pt;width:159pt;height:26.25pt;z-index:252346368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3.5 การส่งเสริมความเข้มแข็งของชุมชน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709" style="position:absolute;margin-left:661.05pt;margin-top:8.85pt;width:116.25pt;height:41.25pt;z-index:252354560" arcsize="10923f" strokecolor="#c0504d [3205]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5.5 การป้องกันบรรเทา</w:t>
                  </w:r>
                  <w:r>
                    <w:rPr>
                      <w:rFonts w:ascii="TH Niramit AS" w:hAnsi="TH Niramit AS" w:cs="TH Niramit AS" w:hint="cs"/>
                      <w:sz w:val="20"/>
                      <w:szCs w:val="22"/>
                      <w:cs/>
                    </w:rPr>
                    <w:t xml:space="preserve">                     </w:t>
                  </w: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สาธารณภัย</w:t>
                  </w:r>
                </w:p>
              </w:txbxContent>
            </v:textbox>
          </v:roundrect>
        </w:pict>
      </w:r>
    </w:p>
    <w:p w:rsidR="00965A1D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shape id="_x0000_s1691" type="#_x0000_t15" style="position:absolute;margin-left:22.5pt;margin-top:23pt;width:108pt;height:35.25pt;z-index:252336128" strokecolor="#92d050" strokeweight="1.5pt">
            <v:textbox>
              <w:txbxContent>
                <w:p w:rsidR="00812552" w:rsidRPr="004C6950" w:rsidRDefault="00812552" w:rsidP="00C61718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6. แผนงาน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1" type="#_x0000_t202" style="position:absolute;margin-left:566.25pt;margin-top:12.5pt;width:84.3pt;height:27pt;z-index:252360704" strokecolor="#9bbb59 [3206]" strokeweight="1.5pt">
            <v:textbox style="mso-next-textbox:#_x0000_s1761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5" type="#_x0000_t202" style="position:absolute;margin-left:450.6pt;margin-top:12.5pt;width:103.8pt;height:27pt;z-index:252364800" strokecolor="#92d050" strokeweight="1.5pt">
            <v:textbox style="mso-next-textbox:#_x0000_s1765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2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6"/>
                      <w:szCs w:val="22"/>
                      <w:cs/>
                    </w:rPr>
                    <w:t>รักษาความสงบ</w:t>
                  </w:r>
                  <w:r w:rsidR="007E517A">
                    <w:rPr>
                      <w:rFonts w:ascii="TH Niramit AS" w:hAnsi="TH Niramit AS" w:cs="TH Niramit AS" w:hint="cs"/>
                      <w:sz w:val="26"/>
                      <w:szCs w:val="22"/>
                      <w:cs/>
                    </w:rPr>
                    <w:t>ภายใน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9" type="#_x0000_t202" style="position:absolute;margin-left:354pt;margin-top:12.5pt;width:84.8pt;height:27pt;z-index:252359680" strokecolor="#92d050" strokeweight="1.5pt">
            <v:textbox style="mso-next-textbox:#_x0000_s1759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ศึกษา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7" type="#_x0000_t202" style="position:absolute;margin-left:255pt;margin-top:12.5pt;width:83.85pt;height:27pt;z-index:252357632" strokecolor="#92d050" strokeweight="1.5pt">
            <v:textbox style="mso-next-textbox:#_x0000_s1757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Cs w:val="22"/>
                      <w:cs/>
                    </w:rPr>
                    <w:t>สร้างความเข้มแข็ง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5" type="#_x0000_t202" style="position:absolute;margin-left:156.5pt;margin-top:12.5pt;width:72.8pt;height:27pt;z-index:252355584" strokecolor="#92d050" strokeweight="1.5pt">
            <v:textbox style="mso-next-textbox:#_x0000_s1755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</w:p>
    <w:p w:rsidR="00812552" w:rsidRDefault="00EA0C4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shape id="_x0000_s1764" type="#_x0000_t202" style="position:absolute;margin-left:558pt;margin-top:13.9pt;width:83.55pt;height:27pt;z-index:252363776" strokecolor="#92d050" strokeweight="1.5pt">
            <v:textbox style="mso-next-textbox:#_x0000_s1764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บริหารงานทั่วไป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6" type="#_x0000_t202" style="position:absolute;margin-left:156.5pt;margin-top:13.9pt;width:76.65pt;height:27pt;z-index:252356608" strokecolor="#92d050" strokeweight="1.5pt">
            <v:textbox style="mso-next-textbox:#_x0000_s1756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เกษตร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2" type="#_x0000_t202" style="position:absolute;margin-left:255pt;margin-top:13.9pt;width:84.3pt;height:27pt;z-index:252361728" strokecolor="#92d050" strokeweight="1.5pt">
            <v:textbox style="mso-next-textbox:#_x0000_s1762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3" type="#_x0000_t202" style="position:absolute;margin-left:355.25pt;margin-top:13.9pt;width:83.55pt;height:27pt;z-index:252362752" strokecolor="#92d050" strokeweight="1.5pt">
            <v:textbox style="mso-next-textbox:#_x0000_s1763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8" type="#_x0000_t202" style="position:absolute;margin-left:455.55pt;margin-top:13.9pt;width:89.85pt;height:27pt;z-index:252358656" strokecolor="#92d050" strokeweight="1.5pt">
            <v:textbox style="mso-next-textbox:#_x0000_s1758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Cs w:val="22"/>
                      <w:cs/>
                    </w:rPr>
                    <w:t>ศาสนาวัฒนธรรมฯ</w:t>
                  </w:r>
                </w:p>
              </w:txbxContent>
            </v:textbox>
          </v:shape>
        </w:pict>
      </w: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>
      <w:pPr>
        <w:rPr>
          <w:rFonts w:ascii="TH Niramit AS" w:hAnsi="TH Niramit AS" w:cs="TH Niramit AS"/>
          <w:sz w:val="28"/>
        </w:rPr>
        <w:sectPr w:rsidR="00111610" w:rsidSect="00D95CC7">
          <w:headerReference w:type="even" r:id="rId7"/>
          <w:headerReference w:type="default" r:id="rId8"/>
          <w:footerReference w:type="even" r:id="rId9"/>
          <w:pgSz w:w="16838" w:h="11906" w:orient="landscape"/>
          <w:pgMar w:top="851" w:right="720" w:bottom="426" w:left="720" w:header="708" w:footer="708" w:gutter="0"/>
          <w:cols w:space="708"/>
          <w:docGrid w:linePitch="360"/>
        </w:sectPr>
      </w:pPr>
    </w:p>
    <w:p w:rsidR="00111610" w:rsidRDefault="00111610">
      <w:pPr>
        <w:rPr>
          <w:rFonts w:ascii="TH Niramit AS" w:hAnsi="TH Niramit AS" w:cs="TH Niramit AS"/>
          <w:sz w:val="28"/>
        </w:rPr>
      </w:pP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  <w:r>
        <w:rPr>
          <w:noProof/>
        </w:rPr>
        <w:pict>
          <v:shape id="_x0000_s1771" type="#_x0000_t202" style="position:absolute;left:0;text-align:left;margin-left:213.85pt;margin-top:-43.35pt;width:27pt;height:27.75pt;z-index:252369920" strokecolor="white [3212]">
            <v:textbox>
              <w:txbxContent>
                <w:p w:rsidR="00111610" w:rsidRDefault="00111610" w:rsidP="00111610"/>
              </w:txbxContent>
            </v:textbox>
          </v:shape>
        </w:pict>
      </w:r>
      <w:r>
        <w:rPr>
          <w:noProof/>
        </w:rPr>
        <w:pict>
          <v:shape id="_x0000_s1770" type="#_x0000_t202" style="position:absolute;left:0;text-align:left;margin-left:441.1pt;margin-top:-36.6pt;width:17.25pt;height:16.5pt;z-index:252368896" fillcolor="white [3212]" strokecolor="white [3212]">
            <v:textbox>
              <w:txbxContent>
                <w:p w:rsidR="00111610" w:rsidRDefault="00111610" w:rsidP="00111610"/>
              </w:txbxContent>
            </v:textbox>
          </v:shape>
        </w:pict>
      </w:r>
      <w:r>
        <w:rPr>
          <w:noProof/>
        </w:rPr>
        <w:pict>
          <v:shape id="_x0000_s1769" type="#_x0000_t202" style="position:absolute;left:0;text-align:left;margin-left:433.95pt;margin-top:-36.6pt;width:7.15pt;height:12.75pt;z-index:252367872" strokecolor="white [3212]">
            <v:textbox>
              <w:txbxContent>
                <w:p w:rsidR="00111610" w:rsidRDefault="00111610" w:rsidP="00111610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sz w:val="48"/>
          <w:szCs w:val="48"/>
        </w:rPr>
        <w:t xml:space="preserve">          </w:t>
      </w: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</w:p>
    <w:p w:rsidR="00111610" w:rsidRDefault="00111610" w:rsidP="00111610">
      <w:pPr>
        <w:pStyle w:val="a4"/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</w:p>
    <w:p w:rsidR="00111610" w:rsidRPr="00111610" w:rsidRDefault="00111610" w:rsidP="00111610">
      <w:pPr>
        <w:pStyle w:val="a4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      </w:t>
      </w:r>
      <w:r w:rsidRPr="00111610">
        <w:rPr>
          <w:rFonts w:ascii="TH Niramit AS" w:hAnsi="TH Niramit AS" w:cs="TH Niramit AS"/>
          <w:b/>
          <w:bCs/>
          <w:sz w:val="48"/>
          <w:szCs w:val="48"/>
          <w:cs/>
        </w:rPr>
        <w:t>แผนพัฒนาท้องถิ่น ( พ.ศ. 2561 – 2565)</w:t>
      </w:r>
    </w:p>
    <w:p w:rsidR="00111610" w:rsidRPr="00111610" w:rsidRDefault="00111610" w:rsidP="00111610">
      <w:pPr>
        <w:pStyle w:val="a4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         </w:t>
      </w:r>
      <w:r w:rsidRPr="00111610">
        <w:rPr>
          <w:rFonts w:ascii="TH Niramit AS" w:hAnsi="TH Niramit AS" w:cs="TH Niramit AS"/>
          <w:b/>
          <w:bCs/>
          <w:sz w:val="48"/>
          <w:szCs w:val="48"/>
          <w:cs/>
        </w:rPr>
        <w:t>องค์การบริหารส่วนตำบลเวียงตาล อำเภอห้างฉัตร  จังหวัดลำปาง</w:t>
      </w:r>
    </w:p>
    <w:p w:rsidR="00111610" w:rsidRPr="00111610" w:rsidRDefault="00111610" w:rsidP="00111610">
      <w:pPr>
        <w:pStyle w:val="a4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      </w:t>
      </w:r>
      <w:r w:rsidRPr="00111610">
        <w:rPr>
          <w:rFonts w:ascii="TH Niramit AS" w:hAnsi="TH Niramit AS" w:cs="TH Niramit AS"/>
          <w:b/>
          <w:bCs/>
          <w:sz w:val="48"/>
          <w:szCs w:val="48"/>
          <w:cs/>
        </w:rPr>
        <w:t xml:space="preserve">ส่วนที่ </w:t>
      </w:r>
      <w:r>
        <w:rPr>
          <w:rFonts w:ascii="TH Niramit AS" w:hAnsi="TH Niramit AS" w:cs="TH Niramit AS" w:hint="cs"/>
          <w:b/>
          <w:bCs/>
          <w:sz w:val="48"/>
          <w:szCs w:val="48"/>
          <w:cs/>
        </w:rPr>
        <w:t>3</w:t>
      </w:r>
      <w:r w:rsidRPr="00111610">
        <w:rPr>
          <w:rFonts w:ascii="TH Niramit AS" w:hAnsi="TH Niramit AS" w:cs="TH Niramit AS"/>
          <w:b/>
          <w:bCs/>
          <w:sz w:val="48"/>
          <w:szCs w:val="48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การนำแผนพัฒนาท้องถิ่นไปสู่การปฏิบัติ</w:t>
      </w:r>
    </w:p>
    <w:p w:rsidR="00111610" w:rsidRPr="002132FF" w:rsidRDefault="00111610" w:rsidP="00111610">
      <w:pPr>
        <w:pStyle w:val="a4"/>
        <w:jc w:val="center"/>
        <w:rPr>
          <w:cs/>
        </w:rPr>
      </w:pPr>
      <w:r>
        <w:rPr>
          <w:rFonts w:ascii="TH Niramit AS" w:hAnsi="TH Niramit AS" w:cs="TH Niramit AS"/>
          <w:b/>
          <w:bCs/>
          <w:sz w:val="48"/>
          <w:szCs w:val="48"/>
        </w:rPr>
        <w:t xml:space="preserve">  </w:t>
      </w:r>
      <w:r w:rsidRPr="00111610">
        <w:rPr>
          <w:rFonts w:ascii="TH Niramit AS" w:hAnsi="TH Niramit AS" w:cs="TH Niramit AS"/>
          <w:b/>
          <w:bCs/>
          <w:sz w:val="48"/>
          <w:szCs w:val="48"/>
        </w:rPr>
        <w:t>***************************</w:t>
      </w: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Pr="00944D15" w:rsidRDefault="00812552">
      <w:pPr>
        <w:rPr>
          <w:rFonts w:ascii="TH Niramit AS" w:hAnsi="TH Niramit AS" w:cs="TH Niramit AS"/>
          <w:sz w:val="28"/>
          <w:cs/>
        </w:rPr>
      </w:pPr>
    </w:p>
    <w:sectPr w:rsidR="00812552" w:rsidRPr="00944D15" w:rsidSect="00111610">
      <w:pgSz w:w="11906" w:h="16838"/>
      <w:pgMar w:top="720" w:right="851" w:bottom="72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24" w:rsidRDefault="00CE4124" w:rsidP="007409EA">
      <w:pPr>
        <w:spacing w:after="0" w:line="240" w:lineRule="auto"/>
      </w:pPr>
      <w:r>
        <w:separator/>
      </w:r>
    </w:p>
  </w:endnote>
  <w:endnote w:type="continuationSeparator" w:id="1">
    <w:p w:rsidR="00CE4124" w:rsidRDefault="00CE4124" w:rsidP="0074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2" w:rsidRDefault="00EA0C4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25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2552">
      <w:rPr>
        <w:rStyle w:val="a9"/>
        <w:noProof/>
        <w:cs/>
      </w:rPr>
      <w:t>1</w:t>
    </w:r>
    <w:r>
      <w:rPr>
        <w:rStyle w:val="a9"/>
      </w:rPr>
      <w:fldChar w:fldCharType="end"/>
    </w:r>
  </w:p>
  <w:p w:rsidR="00812552" w:rsidRDefault="008125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24" w:rsidRDefault="00CE4124" w:rsidP="007409EA">
      <w:pPr>
        <w:spacing w:after="0" w:line="240" w:lineRule="auto"/>
      </w:pPr>
      <w:r>
        <w:separator/>
      </w:r>
    </w:p>
  </w:footnote>
  <w:footnote w:type="continuationSeparator" w:id="1">
    <w:p w:rsidR="00CE4124" w:rsidRDefault="00CE4124" w:rsidP="0074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2" w:rsidRDefault="00EA0C42" w:rsidP="005704C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 w:rsidR="00812552">
      <w:rPr>
        <w:rStyle w:val="a9"/>
      </w:rPr>
      <w:instrText xml:space="preserve">PAGE  </w:instrText>
    </w:r>
    <w:r>
      <w:rPr>
        <w:rStyle w:val="a9"/>
        <w:cs/>
      </w:rPr>
      <w:fldChar w:fldCharType="separate"/>
    </w:r>
    <w:r w:rsidR="00812552">
      <w:rPr>
        <w:rStyle w:val="a9"/>
        <w:noProof/>
        <w:cs/>
      </w:rPr>
      <w:t>2</w:t>
    </w:r>
    <w:r>
      <w:rPr>
        <w:rStyle w:val="a9"/>
        <w:cs/>
      </w:rPr>
      <w:fldChar w:fldCharType="end"/>
    </w:r>
  </w:p>
  <w:p w:rsidR="00812552" w:rsidRDefault="00812552" w:rsidP="005704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2" w:rsidRDefault="00812552" w:rsidP="005704C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D56F3"/>
    <w:rsid w:val="00037219"/>
    <w:rsid w:val="00067048"/>
    <w:rsid w:val="0009606A"/>
    <w:rsid w:val="000D11F1"/>
    <w:rsid w:val="000D4B26"/>
    <w:rsid w:val="000F111E"/>
    <w:rsid w:val="000F7525"/>
    <w:rsid w:val="00111610"/>
    <w:rsid w:val="0012084D"/>
    <w:rsid w:val="00133ADE"/>
    <w:rsid w:val="00174A7A"/>
    <w:rsid w:val="0017508C"/>
    <w:rsid w:val="00175756"/>
    <w:rsid w:val="00176496"/>
    <w:rsid w:val="001B020F"/>
    <w:rsid w:val="001B28CC"/>
    <w:rsid w:val="001C2404"/>
    <w:rsid w:val="001E74CA"/>
    <w:rsid w:val="00200531"/>
    <w:rsid w:val="0022736B"/>
    <w:rsid w:val="00231153"/>
    <w:rsid w:val="002373A1"/>
    <w:rsid w:val="002510B2"/>
    <w:rsid w:val="002A506B"/>
    <w:rsid w:val="002A5667"/>
    <w:rsid w:val="00302BB6"/>
    <w:rsid w:val="003051AF"/>
    <w:rsid w:val="003332BB"/>
    <w:rsid w:val="0038430D"/>
    <w:rsid w:val="003D56F3"/>
    <w:rsid w:val="004221DD"/>
    <w:rsid w:val="00431433"/>
    <w:rsid w:val="004723F7"/>
    <w:rsid w:val="00476DF6"/>
    <w:rsid w:val="004B10EA"/>
    <w:rsid w:val="004C6950"/>
    <w:rsid w:val="004D0C2D"/>
    <w:rsid w:val="00501698"/>
    <w:rsid w:val="005704C0"/>
    <w:rsid w:val="00592288"/>
    <w:rsid w:val="0059725E"/>
    <w:rsid w:val="005A42A1"/>
    <w:rsid w:val="005B583F"/>
    <w:rsid w:val="00604204"/>
    <w:rsid w:val="00687620"/>
    <w:rsid w:val="006905F9"/>
    <w:rsid w:val="006A4ED8"/>
    <w:rsid w:val="006B31F0"/>
    <w:rsid w:val="00717193"/>
    <w:rsid w:val="007409EA"/>
    <w:rsid w:val="00761B51"/>
    <w:rsid w:val="0078799D"/>
    <w:rsid w:val="007B0D98"/>
    <w:rsid w:val="007C1553"/>
    <w:rsid w:val="007D71BF"/>
    <w:rsid w:val="007E517A"/>
    <w:rsid w:val="007F3860"/>
    <w:rsid w:val="00812552"/>
    <w:rsid w:val="00820DD6"/>
    <w:rsid w:val="00845F99"/>
    <w:rsid w:val="008900D0"/>
    <w:rsid w:val="00893D0C"/>
    <w:rsid w:val="008E20EE"/>
    <w:rsid w:val="009067DA"/>
    <w:rsid w:val="00944D15"/>
    <w:rsid w:val="00965A1D"/>
    <w:rsid w:val="00977EBE"/>
    <w:rsid w:val="0099631C"/>
    <w:rsid w:val="009A17C0"/>
    <w:rsid w:val="009A240D"/>
    <w:rsid w:val="009A4E5C"/>
    <w:rsid w:val="009F08F4"/>
    <w:rsid w:val="009F2E0B"/>
    <w:rsid w:val="009F4508"/>
    <w:rsid w:val="009F727C"/>
    <w:rsid w:val="00A102FA"/>
    <w:rsid w:val="00A32542"/>
    <w:rsid w:val="00A714AB"/>
    <w:rsid w:val="00AC2745"/>
    <w:rsid w:val="00AE13E9"/>
    <w:rsid w:val="00AE3ED8"/>
    <w:rsid w:val="00B42305"/>
    <w:rsid w:val="00B4500C"/>
    <w:rsid w:val="00B528BB"/>
    <w:rsid w:val="00B96418"/>
    <w:rsid w:val="00BD11CA"/>
    <w:rsid w:val="00BD758D"/>
    <w:rsid w:val="00BE2D5A"/>
    <w:rsid w:val="00BE4086"/>
    <w:rsid w:val="00C61718"/>
    <w:rsid w:val="00CE4124"/>
    <w:rsid w:val="00D008C2"/>
    <w:rsid w:val="00D73634"/>
    <w:rsid w:val="00D95CC7"/>
    <w:rsid w:val="00DB482A"/>
    <w:rsid w:val="00DF2A9C"/>
    <w:rsid w:val="00E50BEE"/>
    <w:rsid w:val="00EA0C42"/>
    <w:rsid w:val="00EA1B57"/>
    <w:rsid w:val="00F32B70"/>
    <w:rsid w:val="00FC1E7B"/>
    <w:rsid w:val="00FE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5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21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21D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rsid w:val="00893D0C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Cordia New"/>
      <w:sz w:val="28"/>
      <w:szCs w:val="32"/>
    </w:rPr>
  </w:style>
  <w:style w:type="character" w:customStyle="1" w:styleId="a8">
    <w:name w:val="หัวกระดาษ อักขระ"/>
    <w:basedOn w:val="a0"/>
    <w:link w:val="a7"/>
    <w:rsid w:val="00893D0C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893D0C"/>
  </w:style>
  <w:style w:type="paragraph" w:styleId="aa">
    <w:name w:val="footer"/>
    <w:basedOn w:val="a"/>
    <w:link w:val="ab"/>
    <w:rsid w:val="00893D0C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Angsana New"/>
      <w:sz w:val="28"/>
    </w:rPr>
  </w:style>
  <w:style w:type="character" w:customStyle="1" w:styleId="ab">
    <w:name w:val="ท้ายกระดาษ อักขระ"/>
    <w:basedOn w:val="a0"/>
    <w:link w:val="aa"/>
    <w:rsid w:val="00893D0C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D64E-6419-46DC-B520-89E1D275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36</cp:revision>
  <cp:lastPrinted>2019-06-13T03:22:00Z</cp:lastPrinted>
  <dcterms:created xsi:type="dcterms:W3CDTF">2014-05-07T02:54:00Z</dcterms:created>
  <dcterms:modified xsi:type="dcterms:W3CDTF">2019-06-13T03:22:00Z</dcterms:modified>
</cp:coreProperties>
</file>