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1D" w:rsidRDefault="00820DD6" w:rsidP="00965A1D">
      <w:pPr>
        <w:jc w:val="right"/>
      </w:pPr>
      <w:r>
        <w:rPr>
          <w:noProof/>
        </w:rPr>
        <w:pict>
          <v:roundrect id="_x0000_s1191" style="position:absolute;left:0;text-align:left;margin-left:708.6pt;margin-top:-27.8pt;width:73.5pt;height:27pt;z-index:251827200" arcsize="10923f" strokeweight="2.25pt">
            <v:textbox style="mso-next-textbox:#_x0000_s1191">
              <w:txbxContent>
                <w:p w:rsidR="00812552" w:rsidRPr="001C5234" w:rsidRDefault="00812552" w:rsidP="004221DD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1C5234">
                    <w:rPr>
                      <w:rFonts w:ascii="TH Niramit AS" w:hAnsi="TH Niramit AS" w:cs="TH Niramit AS"/>
                      <w:cs/>
                    </w:rPr>
                    <w:t>แบบ ยท.02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668" type="#_x0000_t15" style="position:absolute;left:0;text-align:left;margin-left:22.5pt;margin-top:18.7pt;width:108pt;height:35.25pt;z-index:252314624">
            <v:textbox style="mso-next-textbox:#_x0000_s1668">
              <w:txbxContent>
                <w:p w:rsidR="00812552" w:rsidRPr="00B96418" w:rsidRDefault="00812552">
                  <w:pPr>
                    <w:rPr>
                      <w:rFonts w:ascii="TH Niramit AS" w:hAnsi="TH Niramit AS" w:cs="TH Niramit AS"/>
                      <w:sz w:val="36"/>
                      <w:szCs w:val="36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36"/>
                      <w:szCs w:val="36"/>
                      <w:cs/>
                    </w:rPr>
                    <w:t>1.</w:t>
                  </w:r>
                  <w:r w:rsidRPr="00B96418">
                    <w:rPr>
                      <w:rFonts w:ascii="TH Niramit AS" w:hAnsi="TH Niramit AS" w:cs="TH Niramit AS"/>
                      <w:sz w:val="36"/>
                      <w:szCs w:val="36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669" style="position:absolute;left:0;text-align:left;margin-left:174pt;margin-top:17.2pt;width:501pt;height:39pt;z-index:252315648" arcsize="10923f">
            <v:textbox style="mso-next-textbox:#_x0000_s1669">
              <w:txbxContent>
                <w:p w:rsidR="00812552" w:rsidRPr="00AE3ED8" w:rsidRDefault="00812552">
                  <w:pPr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</w:pPr>
                  <w:r w:rsidRPr="00AE3ED8">
                    <w:rPr>
                      <w:rFonts w:ascii="TH Niramit AS" w:hAnsi="TH Niramit AS" w:cs="TH Niramit AS" w:hint="cs"/>
                      <w:b/>
                      <w:bCs/>
                      <w:sz w:val="48"/>
                      <w:szCs w:val="48"/>
                      <w:cs/>
                    </w:rPr>
                    <w:t xml:space="preserve">     </w:t>
                  </w:r>
                  <w:r w:rsidRPr="00AE3ED8">
                    <w:rPr>
                      <w:rFonts w:ascii="TH Niramit AS" w:hAnsi="TH Niramit AS" w:cs="TH Niramit AS"/>
                      <w:b/>
                      <w:bCs/>
                      <w:sz w:val="48"/>
                      <w:szCs w:val="48"/>
                      <w:cs/>
                    </w:rPr>
                    <w:t>เวียงตาลน่าอยู่  ชุมชนเข้มแข็ง เศรษฐกิจมั่นคง สิ่งแวดล้อมยั่งยืน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667" style="position:absolute;left:0;text-align:left;margin-left:214.5pt;margin-top:-27.8pt;width:401.25pt;height:31.5pt;z-index:252313600" arcsize="10923f">
            <v:textbox style="mso-next-textbox:#_x0000_s1667">
              <w:txbxContent>
                <w:p w:rsidR="00812552" w:rsidRDefault="00812552" w:rsidP="009F2E0B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9F2E0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3.4 </w:t>
                  </w:r>
                  <w:r w:rsidRPr="009F2E0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แผนผังยุทธศาสตร์ (</w:t>
                  </w:r>
                  <w:r w:rsidRPr="009F2E0B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Strategic map)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องค์การบริหารส่วนตำบลเวียงตาล</w:t>
                  </w:r>
                </w:p>
                <w:p w:rsidR="00812552" w:rsidRPr="009F2E0B" w:rsidRDefault="00812552" w:rsidP="009F2E0B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left:0;text-align:left;margin-left:761.8pt;margin-top:13.3pt;width:41.25pt;height:28.5pt;z-index:251820032" strokecolor="white [3212]">
            <v:textbox style="mso-next-textbox:#_x0000_s1185">
              <w:txbxContent>
                <w:p w:rsidR="00812552" w:rsidRPr="00033DF7" w:rsidRDefault="00812552" w:rsidP="00965A1D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</w:p>
    <w:p w:rsidR="00965A1D" w:rsidRPr="00BB1F9D" w:rsidRDefault="00820DD6" w:rsidP="00965A1D">
      <w:pPr>
        <w:jc w:val="center"/>
      </w:pPr>
      <w:r>
        <w:rPr>
          <w:noProof/>
        </w:rPr>
        <w:pict>
          <v:shape id="_x0000_s1186" type="#_x0000_t202" style="position:absolute;left:0;text-align:left;margin-left:751.3pt;margin-top:520.8pt;width:41.25pt;height:28.5pt;z-index:251821056" strokecolor="white [3212]">
            <v:textbox style="mso-next-textbox:#_x0000_s1186">
              <w:txbxContent>
                <w:p w:rsidR="00812552" w:rsidRPr="00033DF7" w:rsidRDefault="00812552" w:rsidP="00965A1D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  59</w:t>
                  </w:r>
                </w:p>
              </w:txbxContent>
            </v:textbox>
          </v:shape>
        </w:pict>
      </w:r>
    </w:p>
    <w:p w:rsidR="00965A1D" w:rsidRDefault="00820DD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675" style="position:absolute;margin-left:650.55pt;margin-top:22.55pt;width:116.25pt;height:33pt;z-index:252321792" arcsize="10923f">
            <v:textbox style="mso-next-textbox:#_x0000_s1675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/>
                      <w:sz w:val="20"/>
                      <w:szCs w:val="20"/>
                    </w:rPr>
                    <w:t>5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</w:rPr>
                    <w:t>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</w:t>
                  </w: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บริหารและพัฒนาองค์กร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4" style="position:absolute;margin-left:525.3pt;margin-top:22.55pt;width:116.25pt;height:31.5pt;z-index:252320768" arcsize="10923f">
            <v:textbox style="mso-next-textbox:#_x0000_s1674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/>
                      <w:sz w:val="20"/>
                      <w:szCs w:val="20"/>
                    </w:rPr>
                    <w:t>4.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การพัฒนาด้าน</w:t>
                  </w: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เศรษฐกิจ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3" style="position:absolute;margin-left:399pt;margin-top:22.55pt;width:116.25pt;height:31.5pt;z-index:252319744" arcsize="10923f">
            <v:textbox style="mso-next-textbox:#_x0000_s1673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/>
                      <w:sz w:val="20"/>
                      <w:szCs w:val="20"/>
                    </w:rPr>
                    <w:t>3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</w:rPr>
                    <w:t>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การพัฒนาด้าน</w:t>
                  </w:r>
                  <w:r>
                    <w:rPr>
                      <w:rFonts w:hint="cs"/>
                      <w:sz w:val="20"/>
                      <w:szCs w:val="20"/>
                      <w:cs/>
                    </w:rPr>
                    <w:t>สังคม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1" style="position:absolute;margin-left:138.75pt;margin-top:22.55pt;width:116.25pt;height:30.75pt;z-index:252317696" arcsize="10923f">
            <v:textbox style="mso-next-textbox:#_x0000_s1671">
              <w:txbxContent>
                <w:p w:rsidR="00812552" w:rsidRPr="00B96418" w:rsidRDefault="00812552">
                  <w:pPr>
                    <w:rPr>
                      <w:sz w:val="20"/>
                      <w:szCs w:val="20"/>
                      <w:cs/>
                    </w:rPr>
                  </w:pP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</w:rPr>
                    <w:t>1.</w:t>
                  </w:r>
                  <w:r w:rsidRPr="00B96418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72" style="position:absolute;margin-left:267pt;margin-top:22.55pt;width:116.25pt;height:38.25pt;z-index:252318720" arcsize="10923f">
            <v:textbox style="mso-next-textbox:#_x0000_s1672">
              <w:txbxContent>
                <w:p w:rsidR="00812552" w:rsidRPr="00B96418" w:rsidRDefault="00812552" w:rsidP="009F2E0B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2.การอนุรักษ์ทรัพยากรธรรมชาติและสิ่งแวดล้อม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shape id="_x0000_s1670" type="#_x0000_t15" style="position:absolute;margin-left:22.5pt;margin-top:22.55pt;width:108pt;height:35.25pt;z-index:252316672">
            <v:textbox style="mso-next-textbox:#_x0000_s1670">
              <w:txbxContent>
                <w:p w:rsidR="00812552" w:rsidRPr="00B96418" w:rsidRDefault="00812552" w:rsidP="00B96418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2.</w:t>
                  </w:r>
                  <w:r w:rsidRPr="00B96418">
                    <w:rPr>
                      <w:rFonts w:ascii="TH Niramit AS" w:hAnsi="TH Niramit AS" w:cs="TH Niramit AS"/>
                      <w:szCs w:val="22"/>
                      <w:cs/>
                    </w:rPr>
                    <w:t>ยุทธศาสตร์การพัฒนา</w:t>
                  </w:r>
                </w:p>
              </w:txbxContent>
            </v:textbox>
          </v:shape>
        </w:pict>
      </w:r>
    </w:p>
    <w:p w:rsidR="00B96418" w:rsidRDefault="00B96418">
      <w:pPr>
        <w:rPr>
          <w:rFonts w:ascii="TH Niramit AS" w:hAnsi="TH Niramit AS" w:cs="TH Niramit AS"/>
          <w:sz w:val="28"/>
        </w:rPr>
      </w:pPr>
    </w:p>
    <w:p w:rsidR="00B96418" w:rsidRDefault="00812552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3" style="position:absolute;margin-left:529.05pt;margin-top:177.6pt;width:116.25pt;height:41.25pt;z-index:252348416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4.2 การส่งเสริมการตลาดและการใช้สินค้าท้องถิ่น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96" style="position:absolute;margin-left:267pt;margin-top:229.35pt;width:116.25pt;height:83.25pt;z-index:252341248" arcsize="10923f">
            <v:textbox>
              <w:txbxContent>
                <w:p w:rsidR="00812552" w:rsidRPr="002373A1" w:rsidRDefault="00812552" w:rsidP="002373A1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2.1 การอนุรักษ์ ฟื้นฟู การเฝ้าระวัง และการป้องกันรักษาทรัพยากรธรรมชาติและสิ่งแวดล้อม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95" style="position:absolute;margin-left:267pt;margin-top:127.35pt;width:116.25pt;height:85.5pt;z-index:252340224" arcsize="10923f">
            <v:textbox>
              <w:txbxContent>
                <w:p w:rsidR="00812552" w:rsidRPr="002373A1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2.1 การสร้างจิตสำนึกและตระหนักในการรักษาทรัพยากรธรรมชาติและสิ่งแวดล้อม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88" style="position:absolute;margin-left:650.55pt;margin-top:71.1pt;width:122.25pt;height:41.25pt;z-index:252334080" arcsize="10923f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ร้อยละของบุคลากรที่ได้รับการพัฒนาและการมีส่วนร่วมของทุกภาคส่วน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81" style="position:absolute;margin-left:649.05pt;margin-top:10.35pt;width:128.25pt;height:41.25pt;z-index:252327936" arcsize="10923f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18"/>
                      <w:szCs w:val="18"/>
                      <w:cs/>
                    </w:rPr>
                    <w:t>พัฒนาประสิทธิภาพการบริการสนับสนุนให้เกิดการมีส่วนร่วมในทุกภาคส่วน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704" style="position:absolute;margin-left:532.8pt;margin-top:229.35pt;width:116.25pt;height:41.25pt;z-index:252349440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4.3 การส่งเสริมการท่องเที่ยว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702" style="position:absolute;margin-left:529.05pt;margin-top:127.35pt;width:116.25pt;height:41.25pt;z-index:252347392" arcsize="10923f">
            <v:textbox>
              <w:txbxContent>
                <w:p w:rsidR="00812552" w:rsidRPr="009067DA" w:rsidRDefault="00812552" w:rsidP="009067DA">
                  <w:pPr>
                    <w:rPr>
                      <w:sz w:val="20"/>
                      <w:szCs w:val="22"/>
                      <w:cs/>
                    </w:rPr>
                  </w:pPr>
                  <w:r>
                    <w:rPr>
                      <w:rFonts w:hint="cs"/>
                      <w:sz w:val="20"/>
                      <w:szCs w:val="22"/>
                      <w:cs/>
                    </w:rPr>
                    <w:t>4.1 การส่งเสริมอาชีพและเพิ่มรายได้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97" style="position:absolute;margin-left:399pt;margin-top:127.35pt;width:116.25pt;height:41.25pt;z-index:252342272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</w:rPr>
                    <w:t xml:space="preserve">3.1 </w:t>
                  </w: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การพัฒนาคุณภาพชีวิตของประชาชน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94" style="position:absolute;margin-left:138.75pt;margin-top:229.35pt;width:116.25pt;height:41.25pt;z-index:252339200" arcsize="10923f">
            <v:textbox>
              <w:txbxContent>
                <w:p w:rsidR="00812552" w:rsidRPr="002373A1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1.3 การก่อสร้างปรับปรุง ดูแล รักษาแหล่งน้ำ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93" style="position:absolute;margin-left:138.75pt;margin-top:177.6pt;width:116.25pt;height:41.25pt;z-index:252338176" arcsize="10923f">
            <v:textbox>
              <w:txbxContent>
                <w:p w:rsidR="00812552" w:rsidRPr="002373A1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1.2 การพัฒนาด้านสาธารณูปโภค สาธารณูปการ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92" style="position:absolute;margin-left:138.75pt;margin-top:127.35pt;width:116.25pt;height:41.25pt;z-index:252337152" arcsize="10923f">
            <v:textbox>
              <w:txbxContent>
                <w:p w:rsidR="00812552" w:rsidRPr="002373A1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2373A1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1.1 การก่อสร้าง ปรับปรุง บำรุง รักษา ถนน สะพาน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shape id="_x0000_s1689" type="#_x0000_t15" style="position:absolute;margin-left:22.5pt;margin-top:127.35pt;width:108pt;height:35.25pt;z-index:252335104">
            <v:textbox>
              <w:txbxContent>
                <w:p w:rsidR="00812552" w:rsidRPr="004C6950" w:rsidRDefault="00812552" w:rsidP="004C6950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5.กลยุทธ์</w:t>
                  </w:r>
                </w:p>
              </w:txbxContent>
            </v:textbox>
          </v:shape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87" style="position:absolute;margin-left:525.3pt;margin-top:71.1pt;width:116.25pt;height:41.25pt;z-index:252333056" arcsize="10923f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ร้อยละของประชาชนที่มีอาชีพและรายได้ที่เพียงพอต่อการดำรงชีพ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86" style="position:absolute;margin-left:394.5pt;margin-top:71.1pt;width:116.25pt;height:41.25pt;z-index:252332032" arcsize="10923f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ร้อยละของประชาชนที่มีคุณภาพชีวิตที่ดี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85" style="position:absolute;margin-left:267pt;margin-top:71.1pt;width:116.25pt;height:41.25pt;z-index:252331008" arcsize="10923f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ร้อยละของทรัพยากรและสิ่งแวดล้อมที่ดีขึ้น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84" style="position:absolute;margin-left:138.75pt;margin-top:71.1pt;width:116.25pt;height:41.25pt;z-index:252329984" arcsize="10923f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จำนวนระบบโครงสร้างพื้นฐานที่ได้มาตรฐาน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shape id="_x0000_s1683" type="#_x0000_t15" style="position:absolute;margin-left:22.5pt;margin-top:71.1pt;width:108pt;height:35.25pt;z-index:252328960">
            <v:textbox>
              <w:txbxContent>
                <w:p w:rsidR="00812552" w:rsidRPr="004C6950" w:rsidRDefault="00812552" w:rsidP="004C6950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4.ค่าเป้าหมาย</w:t>
                  </w:r>
                </w:p>
              </w:txbxContent>
            </v:textbox>
          </v:shape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80" style="position:absolute;margin-left:520.8pt;margin-top:10.35pt;width:116.25pt;height:41.25pt;z-index:252326912" arcsize="10923f">
            <v:textbox>
              <w:txbxContent>
                <w:p w:rsidR="00812552" w:rsidRPr="009067DA" w:rsidRDefault="00812552" w:rsidP="009067DA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9067DA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ประชาชนมีอาชีพและรายได้เพิ่มขึ้นเพียงพอต่อการดำรงชีพ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79" style="position:absolute;margin-left:394.5pt;margin-top:10.35pt;width:116.25pt;height:41.25pt;z-index:252325888" arcsize="10923f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ประชาชนมีคุณภาพชีวิตที่ดี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78" style="position:absolute;margin-left:267pt;margin-top:10.35pt;width:116.25pt;height:41.25pt;z-index:252324864" arcsize="10923f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มีการจัดการทรัพยากรธรรมชาติและสิ่งแวดล้อมเพื่อการพัฒนาท้องถิ่น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roundrect id="_x0000_s1677" style="position:absolute;margin-left:138.75pt;margin-top:10.35pt;width:116.25pt;height:41.25pt;z-index:252323840" arcsize="10923f">
            <v:textbox>
              <w:txbxContent>
                <w:p w:rsidR="00812552" w:rsidRPr="00B96418" w:rsidRDefault="00812552" w:rsidP="009067DA">
                  <w:pPr>
                    <w:jc w:val="center"/>
                    <w:rPr>
                      <w:sz w:val="20"/>
                      <w:szCs w:val="2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0"/>
                      <w:szCs w:val="20"/>
                      <w:cs/>
                    </w:rPr>
                    <w:t>มีสิ่งก่อสร้างเพื่ออำนวยความสะดวกให้ทั่วถึงทุกพื้นที่</w:t>
                  </w:r>
                </w:p>
              </w:txbxContent>
            </v:textbox>
          </v:roundrect>
        </w:pict>
      </w:r>
      <w:r w:rsidR="00820DD6">
        <w:rPr>
          <w:rFonts w:ascii="TH Niramit AS" w:hAnsi="TH Niramit AS" w:cs="TH Niramit AS"/>
          <w:noProof/>
          <w:sz w:val="28"/>
        </w:rPr>
        <w:pict>
          <v:shape id="_x0000_s1676" type="#_x0000_t15" style="position:absolute;margin-left:22.5pt;margin-top:10.35pt;width:108pt;height:35.25pt;z-index:252322816">
            <v:textbox>
              <w:txbxContent>
                <w:p w:rsidR="00812552" w:rsidRPr="004C6950" w:rsidRDefault="00812552" w:rsidP="009F2E0B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3.</w:t>
                  </w:r>
                  <w:r w:rsidRPr="004C6950">
                    <w:rPr>
                      <w:rFonts w:ascii="TH Niramit AS" w:hAnsi="TH Niramit AS" w:cs="TH Niramit AS"/>
                      <w:szCs w:val="22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4221DD" w:rsidRDefault="004221DD" w:rsidP="004221DD"/>
    <w:p w:rsidR="004221DD" w:rsidRDefault="004221DD" w:rsidP="004221DD"/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5" style="position:absolute;margin-left:656.55pt;margin-top:13.25pt;width:116.25pt;height:24pt;z-index:252350464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5.1 การพัฒนาบุคลากร</w:t>
                  </w:r>
                </w:p>
              </w:txbxContent>
            </v:textbox>
          </v:roundrect>
        </w:pict>
      </w:r>
    </w:p>
    <w:p w:rsidR="00965A1D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6" style="position:absolute;margin-left:656.55pt;margin-top:16.9pt;width:116.25pt;height:41.25pt;z-index:252351488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5.2 การปรับปรุง พัฒนา เครื่องมือ เครื่องใช้ สถานที่ปฏิบัติงาน</w:t>
                  </w:r>
                </w:p>
              </w:txbxContent>
            </v:textbox>
          </v:roundrect>
        </w:pict>
      </w:r>
    </w:p>
    <w:p w:rsidR="00965A1D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698" style="position:absolute;margin-left:399pt;margin-top:.3pt;width:116.25pt;height:26.25pt;z-index:252343296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3.2 การจัดการศึกษา</w:t>
                  </w:r>
                </w:p>
              </w:txbxContent>
            </v:textbox>
          </v:roundrect>
        </w:pict>
      </w:r>
    </w:p>
    <w:p w:rsidR="00965A1D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7" style="position:absolute;margin-left:656.55pt;margin-top:3.95pt;width:116.25pt;height:41.25pt;z-index:252352512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5.3 การส่งเสริมความรู้ความเข้าใจในกิจการท้องถิ่น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699" style="position:absolute;margin-left:399pt;margin-top:3.95pt;width:116.25pt;height:41.25pt;z-index:252344320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3.3 การส่งเสริม ศิลปะ วัฒนธรรม ประเพณี และภูมิปัญญาท้องถิ่น</w:t>
                  </w:r>
                </w:p>
              </w:txbxContent>
            </v:textbox>
          </v:roundrect>
        </w:pict>
      </w:r>
    </w:p>
    <w:p w:rsidR="00965A1D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0" style="position:absolute;margin-left:399pt;margin-top:18.1pt;width:116.25pt;height:41.25pt;z-index:252345344" arcsize="10923f">
            <v:textbox>
              <w:txbxContent>
                <w:p w:rsidR="00812552" w:rsidRPr="009067DA" w:rsidRDefault="00812552" w:rsidP="009067DA">
                  <w:pPr>
                    <w:rPr>
                      <w:sz w:val="20"/>
                      <w:szCs w:val="22"/>
                      <w:cs/>
                    </w:rPr>
                  </w:pPr>
                  <w:r>
                    <w:rPr>
                      <w:rFonts w:hint="cs"/>
                      <w:sz w:val="20"/>
                      <w:szCs w:val="22"/>
                      <w:cs/>
                    </w:rPr>
                    <w:t>3.4 การป้องกันรักษาสุขภาพอนามัยของประชาชน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708" style="position:absolute;margin-left:661.05pt;margin-top:24.85pt;width:116.25pt;height:41.25pt;z-index:252353536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5.4 การส่งเสริมการมีส่วนร่วมของประชาชน</w:t>
                  </w:r>
                </w:p>
              </w:txbxContent>
            </v:textbox>
          </v:roundrect>
        </w:pict>
      </w:r>
    </w:p>
    <w:p w:rsidR="00965A1D" w:rsidRDefault="00965A1D">
      <w:pPr>
        <w:rPr>
          <w:rFonts w:ascii="TH Niramit AS" w:hAnsi="TH Niramit AS" w:cs="TH Niramit AS"/>
          <w:sz w:val="28"/>
        </w:rPr>
      </w:pPr>
    </w:p>
    <w:p w:rsidR="00965A1D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oundrect id="_x0000_s1709" style="position:absolute;margin-left:661.05pt;margin-top:8.85pt;width:116.25pt;height:41.25pt;z-index:252354560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5.5 การป้องกันบรรเทา</w:t>
                  </w:r>
                  <w:r>
                    <w:rPr>
                      <w:rFonts w:ascii="TH Niramit AS" w:hAnsi="TH Niramit AS" w:cs="TH Niramit AS" w:hint="cs"/>
                      <w:sz w:val="20"/>
                      <w:szCs w:val="22"/>
                      <w:cs/>
                    </w:rPr>
                    <w:t xml:space="preserve">                     </w:t>
                  </w: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สาธารณภัย</w:t>
                  </w:r>
                </w:p>
              </w:txbxContent>
            </v:textbox>
          </v:roundrect>
        </w:pict>
      </w:r>
      <w:r>
        <w:rPr>
          <w:rFonts w:ascii="TH Niramit AS" w:hAnsi="TH Niramit AS" w:cs="TH Niramit AS"/>
          <w:noProof/>
          <w:sz w:val="28"/>
        </w:rPr>
        <w:pict>
          <v:roundrect id="_x0000_s1701" style="position:absolute;margin-left:399pt;margin-top:2.85pt;width:116.25pt;height:41.25pt;z-index:252346368" arcsize="10923f">
            <v:textbox>
              <w:txbxContent>
                <w:p w:rsidR="00812552" w:rsidRPr="00812552" w:rsidRDefault="00812552" w:rsidP="009067DA">
                  <w:pPr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</w:pPr>
                  <w:r w:rsidRPr="00812552">
                    <w:rPr>
                      <w:rFonts w:ascii="TH Niramit AS" w:hAnsi="TH Niramit AS" w:cs="TH Niramit AS"/>
                      <w:sz w:val="20"/>
                      <w:szCs w:val="22"/>
                      <w:cs/>
                    </w:rPr>
                    <w:t>3.5 การส่งเสริมความเข้มแข็งของชุมชน</w:t>
                  </w:r>
                </w:p>
              </w:txbxContent>
            </v:textbox>
          </v:roundrect>
        </w:pict>
      </w:r>
    </w:p>
    <w:p w:rsidR="00965A1D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shape id="_x0000_s1765" type="#_x0000_t202" style="position:absolute;margin-left:553.5pt;margin-top:12.5pt;width:83.55pt;height:27pt;z-index:252364800" strokecolor="#c00000" strokeweight="1.5pt">
            <v:textbox style="mso-next-textbox:#_x0000_s1765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6"/>
                      <w:szCs w:val="22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6"/>
                      <w:szCs w:val="22"/>
                      <w:cs/>
                    </w:rPr>
                    <w:t>รักษาความสงบ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9" type="#_x0000_t202" style="position:absolute;margin-left:403.5pt;margin-top:18.5pt;width:84.8pt;height:27pt;z-index:252359680" strokecolor="#c00000" strokeweight="1.5pt">
            <v:textbox style="mso-next-textbox:#_x0000_s1759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ศึกษา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691" type="#_x0000_t15" style="position:absolute;margin-left:22.5pt;margin-top:29.75pt;width:108pt;height:35.25pt;z-index:252336128">
            <v:textbox>
              <w:txbxContent>
                <w:p w:rsidR="00812552" w:rsidRPr="004C6950" w:rsidRDefault="00812552" w:rsidP="00C61718">
                  <w:pPr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Cs w:val="22"/>
                      <w:cs/>
                    </w:rPr>
                    <w:t>6. แผนงาน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7" type="#_x0000_t202" style="position:absolute;margin-left:278.85pt;margin-top:12.5pt;width:83.85pt;height:27pt;z-index:252357632" strokecolor="#c00000" strokeweight="1.5pt">
            <v:textbox style="mso-next-textbox:#_x0000_s1757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Cs w:val="22"/>
                      <w:cs/>
                    </w:rPr>
                    <w:t>สร้างความเข้มแข็ง</w:t>
                  </w:r>
                </w:p>
              </w:txbxContent>
            </v:textbox>
          </v:shape>
        </w:pict>
      </w:r>
      <w:r w:rsidR="00812552">
        <w:rPr>
          <w:rFonts w:ascii="TH Niramit AS" w:hAnsi="TH Niramit AS" w:cs="TH Niramit AS"/>
          <w:noProof/>
          <w:sz w:val="28"/>
        </w:rPr>
        <w:pict>
          <v:shape id="_x0000_s1755" type="#_x0000_t202" style="position:absolute;margin-left:156.5pt;margin-top:12.5pt;width:72.8pt;height:27pt;z-index:252355584" strokecolor="#c00000" strokeweight="1.5pt">
            <v:textbox style="mso-next-textbox:#_x0000_s1755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เคหะและชุมชน</w:t>
                  </w:r>
                </w:p>
              </w:txbxContent>
            </v:textbox>
          </v:shape>
        </w:pict>
      </w:r>
    </w:p>
    <w:p w:rsidR="00812552" w:rsidRDefault="00BE408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shape id="_x0000_s1763" type="#_x0000_t202" style="position:absolute;margin-left:403.5pt;margin-top:22.9pt;width:83.55pt;height:27pt;z-index:252362752" strokecolor="#c00000" strokeweight="1.5pt">
            <v:textbox style="mso-next-textbox:#_x0000_s1763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6"/>
                      <w:szCs w:val="26"/>
                      <w:cs/>
                    </w:rPr>
                    <w:t>สาธารณสุข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62" type="#_x0000_t202" style="position:absolute;margin-left:278.85pt;margin-top:22.9pt;width:84.3pt;height:27pt;z-index:252361728" strokecolor="#c00000" strokeweight="1.5pt">
            <v:textbox style="mso-next-textbox:#_x0000_s1762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สังคมสงเคราะห์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64" type="#_x0000_t202" style="position:absolute;margin-left:607.95pt;margin-top:22.9pt;width:83.55pt;height:27pt;z-index:252363776" strokecolor="#c00000" strokeweight="1.5pt">
            <v:textbox style="mso-next-textbox:#_x0000_s1764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บริหารงานทั่วไป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61" type="#_x0000_t202" style="position:absolute;margin-left:708.6pt;margin-top:22.9pt;width:84.3pt;height:27pt;z-index:252360704" strokecolor="#c00000" strokeweight="1.5pt">
            <v:textbox style="mso-next-textbox:#_x0000_s1761">
              <w:txbxContent>
                <w:p w:rsidR="00BE4086" w:rsidRPr="00BE4086" w:rsidRDefault="00BE4086" w:rsidP="00BE4086">
                  <w:pPr>
                    <w:jc w:val="center"/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0"/>
                      <w:szCs w:val="20"/>
                      <w:cs/>
                    </w:rPr>
                    <w:t>งบกลาง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_x0000_s1758" type="#_x0000_t202" style="position:absolute;margin-left:497.7pt;margin-top:22.9pt;width:89.85pt;height:27pt;z-index:252358656" strokecolor="#c00000" strokeweight="1.5pt">
            <v:textbox style="mso-next-textbox:#_x0000_s1758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Cs w:val="22"/>
                      <w:cs/>
                    </w:rPr>
                    <w:t>ศาสนาวัฒนธรรมฯ</w:t>
                  </w:r>
                </w:p>
              </w:txbxContent>
            </v:textbox>
          </v:shape>
        </w:pict>
      </w:r>
      <w:r w:rsidR="00812552">
        <w:rPr>
          <w:rFonts w:ascii="TH Niramit AS" w:hAnsi="TH Niramit AS" w:cs="TH Niramit AS"/>
          <w:noProof/>
          <w:sz w:val="28"/>
        </w:rPr>
        <w:pict>
          <v:shape id="_x0000_s1756" type="#_x0000_t202" style="position:absolute;margin-left:156.5pt;margin-top:22.9pt;width:76.65pt;height:27pt;z-index:252356608" strokecolor="#c00000" strokeweight="1.5pt">
            <v:textbox style="mso-next-textbox:#_x0000_s1756">
              <w:txbxContent>
                <w:p w:rsidR="00812552" w:rsidRPr="00BE4086" w:rsidRDefault="00812552" w:rsidP="00812552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BE4086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เกษตร</w:t>
                  </w:r>
                </w:p>
              </w:txbxContent>
            </v:textbox>
          </v:shape>
        </w:pict>
      </w: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Default="00812552">
      <w:pPr>
        <w:rPr>
          <w:rFonts w:ascii="TH Niramit AS" w:hAnsi="TH Niramit AS" w:cs="TH Niramit AS"/>
          <w:sz w:val="28"/>
        </w:rPr>
      </w:pPr>
    </w:p>
    <w:p w:rsidR="00812552" w:rsidRPr="00944D15" w:rsidRDefault="00812552">
      <w:pPr>
        <w:rPr>
          <w:rFonts w:ascii="TH Niramit AS" w:hAnsi="TH Niramit AS" w:cs="TH Niramit AS"/>
          <w:sz w:val="28"/>
          <w:cs/>
        </w:rPr>
      </w:pPr>
    </w:p>
    <w:sectPr w:rsidR="00812552" w:rsidRPr="00944D15" w:rsidSect="00D95CC7">
      <w:headerReference w:type="even" r:id="rId7"/>
      <w:headerReference w:type="default" r:id="rId8"/>
      <w:footerReference w:type="even" r:id="rId9"/>
      <w:pgSz w:w="16838" w:h="11906" w:orient="landscape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EE" w:rsidRDefault="008E20EE" w:rsidP="007409EA">
      <w:pPr>
        <w:spacing w:after="0" w:line="240" w:lineRule="auto"/>
      </w:pPr>
      <w:r>
        <w:separator/>
      </w:r>
    </w:p>
  </w:endnote>
  <w:endnote w:type="continuationSeparator" w:id="1">
    <w:p w:rsidR="008E20EE" w:rsidRDefault="008E20EE" w:rsidP="0074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2" w:rsidRDefault="0081255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  <w:cs/>
      </w:rPr>
      <w:t>1</w:t>
    </w:r>
    <w:r>
      <w:rPr>
        <w:rStyle w:val="a9"/>
      </w:rPr>
      <w:fldChar w:fldCharType="end"/>
    </w:r>
  </w:p>
  <w:p w:rsidR="00812552" w:rsidRDefault="008125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EE" w:rsidRDefault="008E20EE" w:rsidP="007409EA">
      <w:pPr>
        <w:spacing w:after="0" w:line="240" w:lineRule="auto"/>
      </w:pPr>
      <w:r>
        <w:separator/>
      </w:r>
    </w:p>
  </w:footnote>
  <w:footnote w:type="continuationSeparator" w:id="1">
    <w:p w:rsidR="008E20EE" w:rsidRDefault="008E20EE" w:rsidP="0074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2" w:rsidRDefault="00812552" w:rsidP="005704C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separate"/>
    </w:r>
    <w:r>
      <w:rPr>
        <w:rStyle w:val="a9"/>
        <w:noProof/>
        <w:cs/>
      </w:rPr>
      <w:t>2</w:t>
    </w:r>
    <w:r>
      <w:rPr>
        <w:rStyle w:val="a9"/>
        <w:cs/>
      </w:rPr>
      <w:fldChar w:fldCharType="end"/>
    </w:r>
  </w:p>
  <w:p w:rsidR="00812552" w:rsidRDefault="00812552" w:rsidP="005704C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552" w:rsidRDefault="00812552" w:rsidP="005704C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D56F3"/>
    <w:rsid w:val="00037219"/>
    <w:rsid w:val="00067048"/>
    <w:rsid w:val="0009606A"/>
    <w:rsid w:val="000D11F1"/>
    <w:rsid w:val="000F111E"/>
    <w:rsid w:val="000F7525"/>
    <w:rsid w:val="0012084D"/>
    <w:rsid w:val="00133ADE"/>
    <w:rsid w:val="00174A7A"/>
    <w:rsid w:val="0017508C"/>
    <w:rsid w:val="00175756"/>
    <w:rsid w:val="00176496"/>
    <w:rsid w:val="001C2404"/>
    <w:rsid w:val="001E74CA"/>
    <w:rsid w:val="00200531"/>
    <w:rsid w:val="0022736B"/>
    <w:rsid w:val="00231153"/>
    <w:rsid w:val="002373A1"/>
    <w:rsid w:val="002510B2"/>
    <w:rsid w:val="002A506B"/>
    <w:rsid w:val="002A5667"/>
    <w:rsid w:val="00302BB6"/>
    <w:rsid w:val="003051AF"/>
    <w:rsid w:val="0038430D"/>
    <w:rsid w:val="003D56F3"/>
    <w:rsid w:val="004221DD"/>
    <w:rsid w:val="00431433"/>
    <w:rsid w:val="004723F7"/>
    <w:rsid w:val="00476DF6"/>
    <w:rsid w:val="004B10EA"/>
    <w:rsid w:val="004C6950"/>
    <w:rsid w:val="00501698"/>
    <w:rsid w:val="005704C0"/>
    <w:rsid w:val="00592288"/>
    <w:rsid w:val="0059725E"/>
    <w:rsid w:val="005A42A1"/>
    <w:rsid w:val="005B583F"/>
    <w:rsid w:val="00604204"/>
    <w:rsid w:val="00687620"/>
    <w:rsid w:val="006905F9"/>
    <w:rsid w:val="006A4ED8"/>
    <w:rsid w:val="006B31F0"/>
    <w:rsid w:val="00717193"/>
    <w:rsid w:val="007409EA"/>
    <w:rsid w:val="00761B51"/>
    <w:rsid w:val="0078799D"/>
    <w:rsid w:val="007B0D98"/>
    <w:rsid w:val="007C1553"/>
    <w:rsid w:val="007D71BF"/>
    <w:rsid w:val="007F3860"/>
    <w:rsid w:val="00812552"/>
    <w:rsid w:val="00820DD6"/>
    <w:rsid w:val="00845F99"/>
    <w:rsid w:val="008900D0"/>
    <w:rsid w:val="00893D0C"/>
    <w:rsid w:val="008E20EE"/>
    <w:rsid w:val="009067DA"/>
    <w:rsid w:val="00944D15"/>
    <w:rsid w:val="00965A1D"/>
    <w:rsid w:val="0099631C"/>
    <w:rsid w:val="009A240D"/>
    <w:rsid w:val="009A4E5C"/>
    <w:rsid w:val="009F08F4"/>
    <w:rsid w:val="009F2E0B"/>
    <w:rsid w:val="009F4508"/>
    <w:rsid w:val="009F727C"/>
    <w:rsid w:val="00A102FA"/>
    <w:rsid w:val="00A32542"/>
    <w:rsid w:val="00A714AB"/>
    <w:rsid w:val="00AC2745"/>
    <w:rsid w:val="00AE13E9"/>
    <w:rsid w:val="00AE3ED8"/>
    <w:rsid w:val="00B528BB"/>
    <w:rsid w:val="00B96418"/>
    <w:rsid w:val="00BD11CA"/>
    <w:rsid w:val="00BD758D"/>
    <w:rsid w:val="00BE2D5A"/>
    <w:rsid w:val="00BE4086"/>
    <w:rsid w:val="00C61718"/>
    <w:rsid w:val="00D008C2"/>
    <w:rsid w:val="00D73634"/>
    <w:rsid w:val="00D95CC7"/>
    <w:rsid w:val="00DB482A"/>
    <w:rsid w:val="00DF2A9C"/>
    <w:rsid w:val="00E50BEE"/>
    <w:rsid w:val="00EA1B57"/>
    <w:rsid w:val="00F32B70"/>
    <w:rsid w:val="00FC1E7B"/>
    <w:rsid w:val="00FE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5A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21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221D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rsid w:val="00893D0C"/>
    <w:pPr>
      <w:widowControl w:val="0"/>
      <w:tabs>
        <w:tab w:val="center" w:pos="4153"/>
        <w:tab w:val="right" w:pos="8306"/>
      </w:tabs>
      <w:adjustRightInd w:val="0"/>
      <w:spacing w:after="0" w:line="360" w:lineRule="atLeast"/>
      <w:jc w:val="both"/>
      <w:textAlignment w:val="baseline"/>
    </w:pPr>
    <w:rPr>
      <w:rFonts w:ascii="Cordia New" w:eastAsia="Cordia New" w:hAnsi="Cordia New" w:cs="Cordia New"/>
      <w:sz w:val="28"/>
      <w:szCs w:val="32"/>
    </w:rPr>
  </w:style>
  <w:style w:type="character" w:customStyle="1" w:styleId="a8">
    <w:name w:val="หัวกระดาษ อักขระ"/>
    <w:basedOn w:val="a0"/>
    <w:link w:val="a7"/>
    <w:rsid w:val="00893D0C"/>
    <w:rPr>
      <w:rFonts w:ascii="Cordia New" w:eastAsia="Cordia New" w:hAnsi="Cordia New" w:cs="Cordia New"/>
      <w:sz w:val="28"/>
      <w:szCs w:val="32"/>
    </w:rPr>
  </w:style>
  <w:style w:type="character" w:styleId="a9">
    <w:name w:val="page number"/>
    <w:basedOn w:val="a0"/>
    <w:rsid w:val="00893D0C"/>
  </w:style>
  <w:style w:type="paragraph" w:styleId="aa">
    <w:name w:val="footer"/>
    <w:basedOn w:val="a"/>
    <w:link w:val="ab"/>
    <w:rsid w:val="00893D0C"/>
    <w:pPr>
      <w:widowControl w:val="0"/>
      <w:tabs>
        <w:tab w:val="center" w:pos="4320"/>
        <w:tab w:val="right" w:pos="8640"/>
      </w:tabs>
      <w:adjustRightInd w:val="0"/>
      <w:spacing w:after="0" w:line="360" w:lineRule="atLeast"/>
      <w:jc w:val="both"/>
      <w:textAlignment w:val="baseline"/>
    </w:pPr>
    <w:rPr>
      <w:rFonts w:ascii="Cordia New" w:eastAsia="Cordia New" w:hAnsi="Cordia New" w:cs="Angsana New"/>
      <w:sz w:val="28"/>
    </w:rPr>
  </w:style>
  <w:style w:type="character" w:customStyle="1" w:styleId="ab">
    <w:name w:val="ท้ายกระดาษ อักขระ"/>
    <w:basedOn w:val="a0"/>
    <w:link w:val="aa"/>
    <w:rsid w:val="00893D0C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5D64E-6419-46DC-B520-89E1D275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HP</cp:lastModifiedBy>
  <cp:revision>29</cp:revision>
  <cp:lastPrinted>2016-11-07T10:16:00Z</cp:lastPrinted>
  <dcterms:created xsi:type="dcterms:W3CDTF">2014-05-07T02:54:00Z</dcterms:created>
  <dcterms:modified xsi:type="dcterms:W3CDTF">2016-11-14T02:59:00Z</dcterms:modified>
</cp:coreProperties>
</file>